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F1C5" w14:textId="77777777" w:rsidR="00BF4B82" w:rsidRPr="00357C2E" w:rsidRDefault="004A4DF4" w:rsidP="00BF4B82">
      <w:pPr>
        <w:rPr>
          <w:rFonts w:ascii="Seaford" w:eastAsia="Times New Roman" w:hAnsi="Seaford" w:cs="Times New Roman"/>
          <w:sz w:val="25"/>
          <w:szCs w:val="25"/>
        </w:rPr>
      </w:pPr>
      <w:r w:rsidRPr="00357C2E">
        <w:rPr>
          <w:rFonts w:ascii="Seaford" w:eastAsia="Times New Roman" w:hAnsi="Seaford" w:cs="Times New Roman"/>
          <w:b/>
          <w:sz w:val="25"/>
          <w:szCs w:val="25"/>
        </w:rPr>
        <w:t>Q:</w:t>
      </w:r>
      <w:r w:rsidRPr="00357C2E">
        <w:rPr>
          <w:rFonts w:ascii="Seaford" w:eastAsia="Times New Roman" w:hAnsi="Seaford" w:cs="Times New Roman"/>
          <w:b/>
          <w:sz w:val="25"/>
          <w:szCs w:val="25"/>
        </w:rPr>
        <w:tab/>
      </w:r>
      <w:r w:rsidR="00BF4B82" w:rsidRPr="00357C2E">
        <w:rPr>
          <w:rFonts w:ascii="Seaford" w:eastAsia="Times New Roman" w:hAnsi="Seaford" w:cs="Times New Roman"/>
          <w:b/>
          <w:sz w:val="25"/>
          <w:szCs w:val="25"/>
        </w:rPr>
        <w:t>Are English Language and English Literature two separate GCSEs</w:t>
      </w:r>
      <w:r w:rsidR="00BF4B82" w:rsidRPr="00357C2E">
        <w:rPr>
          <w:rFonts w:ascii="Seaford" w:eastAsia="Times New Roman" w:hAnsi="Seaford" w:cs="Times New Roman"/>
          <w:sz w:val="25"/>
          <w:szCs w:val="25"/>
        </w:rPr>
        <w:t xml:space="preserve">?  </w:t>
      </w:r>
    </w:p>
    <w:p w14:paraId="39F3F0D4" w14:textId="77777777" w:rsidR="00BF4B82" w:rsidRPr="00357C2E" w:rsidRDefault="00BF4B82" w:rsidP="00BF4B82">
      <w:pPr>
        <w:rPr>
          <w:rFonts w:ascii="Seaford" w:eastAsia="Times New Roman" w:hAnsi="Seaford" w:cs="Times New Roman"/>
          <w:i/>
          <w:sz w:val="25"/>
          <w:szCs w:val="25"/>
        </w:rPr>
      </w:pPr>
      <w:r w:rsidRPr="00357C2E">
        <w:rPr>
          <w:rFonts w:ascii="Seaford" w:eastAsia="Times New Roman" w:hAnsi="Seaford" w:cs="Times New Roman"/>
          <w:i/>
          <w:sz w:val="25"/>
          <w:szCs w:val="25"/>
        </w:rPr>
        <w:t>A:</w:t>
      </w:r>
      <w:r w:rsidRPr="00357C2E">
        <w:rPr>
          <w:rFonts w:ascii="Seaford" w:eastAsia="Times New Roman" w:hAnsi="Seaford" w:cs="Times New Roman"/>
          <w:i/>
          <w:sz w:val="25"/>
          <w:szCs w:val="25"/>
        </w:rPr>
        <w:tab/>
        <w:t xml:space="preserve">Yes. Students will receive two GCSE grades at the end of the course.   </w:t>
      </w:r>
    </w:p>
    <w:p w14:paraId="5E6ABBD2" w14:textId="77777777" w:rsidR="00BF4B82" w:rsidRPr="00357C2E" w:rsidRDefault="00BF4B82" w:rsidP="00BF4B82">
      <w:pPr>
        <w:rPr>
          <w:rFonts w:ascii="Seaford" w:eastAsia="Times New Roman" w:hAnsi="Seaford" w:cs="Times New Roman"/>
          <w:b/>
          <w:sz w:val="25"/>
          <w:szCs w:val="25"/>
        </w:rPr>
      </w:pPr>
      <w:r w:rsidRPr="00357C2E">
        <w:rPr>
          <w:rFonts w:ascii="Seaford" w:eastAsia="Times New Roman" w:hAnsi="Seaford" w:cs="Times New Roman"/>
          <w:b/>
          <w:sz w:val="25"/>
          <w:szCs w:val="25"/>
        </w:rPr>
        <w:t>Q:</w:t>
      </w:r>
      <w:r w:rsidRPr="00357C2E">
        <w:rPr>
          <w:rFonts w:ascii="Seaford" w:eastAsia="Times New Roman" w:hAnsi="Seaford" w:cs="Times New Roman"/>
          <w:b/>
          <w:sz w:val="25"/>
          <w:szCs w:val="25"/>
        </w:rPr>
        <w:tab/>
        <w:t xml:space="preserve">Does everyone do both GCSEs?  </w:t>
      </w:r>
    </w:p>
    <w:p w14:paraId="3FB45A14" w14:textId="496083FE" w:rsidR="00BF4B82" w:rsidRPr="00357C2E" w:rsidRDefault="00BF4B82" w:rsidP="00BF4B82">
      <w:pPr>
        <w:ind w:left="720" w:hanging="720"/>
        <w:rPr>
          <w:rFonts w:ascii="Seaford" w:eastAsia="Times New Roman" w:hAnsi="Seaford" w:cs="Times New Roman"/>
          <w:i/>
          <w:sz w:val="25"/>
          <w:szCs w:val="25"/>
        </w:rPr>
      </w:pPr>
      <w:r w:rsidRPr="00357C2E">
        <w:rPr>
          <w:rFonts w:ascii="Seaford" w:eastAsia="Times New Roman" w:hAnsi="Seaford" w:cs="Times New Roman"/>
          <w:i/>
          <w:sz w:val="25"/>
          <w:szCs w:val="25"/>
        </w:rPr>
        <w:t>A:</w:t>
      </w:r>
      <w:r w:rsidRPr="00357C2E">
        <w:rPr>
          <w:rFonts w:ascii="Seaford" w:eastAsia="Times New Roman" w:hAnsi="Seaford" w:cs="Times New Roman"/>
          <w:i/>
          <w:sz w:val="25"/>
          <w:szCs w:val="25"/>
        </w:rPr>
        <w:tab/>
        <w:t xml:space="preserve">Yes, everyone follows both courses.  </w:t>
      </w:r>
    </w:p>
    <w:p w14:paraId="04F09599" w14:textId="77777777" w:rsidR="00BF4B82" w:rsidRPr="00357C2E" w:rsidRDefault="00BF4B82" w:rsidP="00BF4B82">
      <w:pPr>
        <w:ind w:left="720" w:hanging="720"/>
        <w:rPr>
          <w:rFonts w:ascii="Seaford" w:eastAsia="Times New Roman" w:hAnsi="Seaford" w:cs="Times New Roman"/>
          <w:b/>
          <w:sz w:val="25"/>
          <w:szCs w:val="25"/>
        </w:rPr>
      </w:pPr>
      <w:r w:rsidRPr="00357C2E">
        <w:rPr>
          <w:rFonts w:ascii="Seaford" w:eastAsia="Times New Roman" w:hAnsi="Seaford" w:cs="Times New Roman"/>
          <w:b/>
          <w:sz w:val="25"/>
          <w:szCs w:val="25"/>
        </w:rPr>
        <w:t>Q:</w:t>
      </w:r>
      <w:r w:rsidRPr="00357C2E">
        <w:rPr>
          <w:rFonts w:ascii="Seaford" w:eastAsia="Times New Roman" w:hAnsi="Seaford" w:cs="Times New Roman"/>
          <w:b/>
          <w:sz w:val="25"/>
          <w:szCs w:val="25"/>
        </w:rPr>
        <w:tab/>
        <w:t>Are there any tiers of entry?</w:t>
      </w:r>
    </w:p>
    <w:p w14:paraId="1CA7CA61" w14:textId="77777777" w:rsidR="00BF4B82" w:rsidRPr="00357C2E" w:rsidRDefault="00BF4B82" w:rsidP="00BF4B82">
      <w:pPr>
        <w:ind w:left="720" w:hanging="720"/>
        <w:rPr>
          <w:rFonts w:ascii="Seaford" w:eastAsia="Times New Roman" w:hAnsi="Seaford" w:cs="Times New Roman"/>
          <w:i/>
          <w:sz w:val="25"/>
          <w:szCs w:val="25"/>
        </w:rPr>
      </w:pPr>
      <w:r w:rsidRPr="00357C2E">
        <w:rPr>
          <w:rFonts w:ascii="Seaford" w:eastAsia="Times New Roman" w:hAnsi="Seaford" w:cs="Times New Roman"/>
          <w:i/>
          <w:sz w:val="25"/>
          <w:szCs w:val="25"/>
        </w:rPr>
        <w:t>A:</w:t>
      </w:r>
      <w:r w:rsidRPr="00357C2E">
        <w:rPr>
          <w:rFonts w:ascii="Seaford" w:eastAsia="Times New Roman" w:hAnsi="Seaford" w:cs="Times New Roman"/>
          <w:i/>
          <w:sz w:val="25"/>
          <w:szCs w:val="25"/>
        </w:rPr>
        <w:tab/>
        <w:t>No, there are no longer any tiers of entry; regardless of ability, everyone does the same exams.</w:t>
      </w:r>
    </w:p>
    <w:p w14:paraId="6C0B9CC3" w14:textId="77777777" w:rsidR="00BF4B82" w:rsidRPr="00357C2E" w:rsidRDefault="00BF4B82" w:rsidP="00BF4B82">
      <w:pPr>
        <w:ind w:left="720" w:hanging="720"/>
        <w:rPr>
          <w:rFonts w:ascii="Seaford" w:eastAsia="Times New Roman" w:hAnsi="Seaford" w:cs="Times New Roman"/>
          <w:b/>
          <w:sz w:val="25"/>
          <w:szCs w:val="25"/>
        </w:rPr>
      </w:pPr>
      <w:r w:rsidRPr="00357C2E">
        <w:rPr>
          <w:rFonts w:ascii="Seaford" w:eastAsia="Times New Roman" w:hAnsi="Seaford" w:cs="Times New Roman"/>
          <w:b/>
          <w:sz w:val="25"/>
          <w:szCs w:val="25"/>
        </w:rPr>
        <w:t>Q:</w:t>
      </w:r>
      <w:r w:rsidRPr="00357C2E">
        <w:rPr>
          <w:rFonts w:ascii="Seaford" w:eastAsia="Times New Roman" w:hAnsi="Seaford" w:cs="Times New Roman"/>
          <w:b/>
          <w:sz w:val="25"/>
          <w:szCs w:val="25"/>
        </w:rPr>
        <w:tab/>
        <w:t>How many exams are there?</w:t>
      </w:r>
    </w:p>
    <w:p w14:paraId="1489E785" w14:textId="0CDD635B" w:rsidR="00BF4B82" w:rsidRPr="00357C2E" w:rsidRDefault="00BF4B82" w:rsidP="00BF4B82">
      <w:pPr>
        <w:ind w:left="720" w:hanging="720"/>
        <w:rPr>
          <w:rFonts w:ascii="Seaford" w:eastAsia="Times New Roman" w:hAnsi="Seaford" w:cs="Times New Roman"/>
          <w:i/>
          <w:sz w:val="25"/>
          <w:szCs w:val="25"/>
        </w:rPr>
      </w:pPr>
      <w:r w:rsidRPr="00357C2E">
        <w:rPr>
          <w:rFonts w:ascii="Seaford" w:eastAsia="Times New Roman" w:hAnsi="Seaford" w:cs="Times New Roman"/>
          <w:i/>
          <w:sz w:val="25"/>
          <w:szCs w:val="25"/>
        </w:rPr>
        <w:t>A:</w:t>
      </w:r>
      <w:r w:rsidRPr="00357C2E">
        <w:rPr>
          <w:rFonts w:ascii="Seaford" w:eastAsia="Times New Roman" w:hAnsi="Seaford" w:cs="Times New Roman"/>
          <w:i/>
          <w:sz w:val="25"/>
          <w:szCs w:val="25"/>
        </w:rPr>
        <w:tab/>
        <w:t xml:space="preserve">There are two exams in English Language and two exams in English Literature.  All of </w:t>
      </w:r>
      <w:r w:rsidR="00C920FA" w:rsidRPr="00357C2E">
        <w:rPr>
          <w:rFonts w:ascii="Seaford" w:eastAsia="Times New Roman" w:hAnsi="Seaford" w:cs="Times New Roman"/>
          <w:i/>
          <w:sz w:val="25"/>
          <w:szCs w:val="25"/>
        </w:rPr>
        <w:t>these exams take place at the end of Year 11.</w:t>
      </w:r>
    </w:p>
    <w:p w14:paraId="09838467" w14:textId="77777777" w:rsidR="00BF4B82" w:rsidRPr="00357C2E" w:rsidRDefault="00BF4B82" w:rsidP="00BF4B82">
      <w:pPr>
        <w:ind w:left="720" w:hanging="720"/>
        <w:rPr>
          <w:rFonts w:ascii="Seaford" w:eastAsia="Times New Roman" w:hAnsi="Seaford" w:cs="Times New Roman"/>
          <w:b/>
          <w:sz w:val="25"/>
          <w:szCs w:val="25"/>
        </w:rPr>
      </w:pPr>
      <w:r w:rsidRPr="00357C2E">
        <w:rPr>
          <w:rFonts w:ascii="Seaford" w:eastAsia="Times New Roman" w:hAnsi="Seaford" w:cs="Times New Roman"/>
          <w:b/>
          <w:sz w:val="25"/>
          <w:szCs w:val="25"/>
        </w:rPr>
        <w:t>Q:</w:t>
      </w:r>
      <w:r w:rsidRPr="00357C2E">
        <w:rPr>
          <w:rFonts w:ascii="Seaford" w:eastAsia="Times New Roman" w:hAnsi="Seaford" w:cs="Times New Roman"/>
          <w:b/>
          <w:sz w:val="25"/>
          <w:szCs w:val="25"/>
        </w:rPr>
        <w:tab/>
        <w:t>How are the groups organised at KS4?</w:t>
      </w:r>
    </w:p>
    <w:p w14:paraId="157B27E8" w14:textId="60A58D6A" w:rsidR="00BF4B82" w:rsidRPr="00357C2E" w:rsidRDefault="00BF4B82" w:rsidP="00BF4B82">
      <w:pPr>
        <w:ind w:left="720" w:hanging="720"/>
        <w:rPr>
          <w:rFonts w:ascii="Seaford" w:eastAsia="Times New Roman" w:hAnsi="Seaford" w:cs="Times New Roman"/>
          <w:i/>
          <w:sz w:val="25"/>
          <w:szCs w:val="25"/>
        </w:rPr>
      </w:pPr>
      <w:r w:rsidRPr="00357C2E">
        <w:rPr>
          <w:rFonts w:ascii="Seaford" w:eastAsia="Times New Roman" w:hAnsi="Seaford" w:cs="Times New Roman"/>
          <w:i/>
          <w:sz w:val="25"/>
          <w:szCs w:val="25"/>
        </w:rPr>
        <w:t>A:</w:t>
      </w:r>
      <w:r w:rsidRPr="00357C2E">
        <w:rPr>
          <w:rFonts w:ascii="Seaford" w:eastAsia="Times New Roman" w:hAnsi="Seaford" w:cs="Times New Roman"/>
          <w:i/>
          <w:sz w:val="25"/>
          <w:szCs w:val="25"/>
        </w:rPr>
        <w:tab/>
        <w:t xml:space="preserve">Using </w:t>
      </w:r>
      <w:r w:rsidR="00D96B2A" w:rsidRPr="00357C2E">
        <w:rPr>
          <w:rFonts w:ascii="Seaford" w:eastAsia="Times New Roman" w:hAnsi="Seaford" w:cs="Times New Roman"/>
          <w:i/>
          <w:sz w:val="25"/>
          <w:szCs w:val="25"/>
        </w:rPr>
        <w:t xml:space="preserve">teachers’ comments and </w:t>
      </w:r>
      <w:r w:rsidRPr="00357C2E">
        <w:rPr>
          <w:rFonts w:ascii="Seaford" w:eastAsia="Times New Roman" w:hAnsi="Seaford" w:cs="Times New Roman"/>
          <w:i/>
          <w:sz w:val="25"/>
          <w:szCs w:val="25"/>
        </w:rPr>
        <w:t xml:space="preserve">data from </w:t>
      </w:r>
      <w:r w:rsidR="00D96B2A" w:rsidRPr="00357C2E">
        <w:rPr>
          <w:rFonts w:ascii="Seaford" w:eastAsia="Times New Roman" w:hAnsi="Seaford" w:cs="Times New Roman"/>
          <w:i/>
          <w:sz w:val="25"/>
          <w:szCs w:val="25"/>
        </w:rPr>
        <w:t xml:space="preserve">assessments </w:t>
      </w:r>
      <w:r w:rsidRPr="00357C2E">
        <w:rPr>
          <w:rFonts w:ascii="Seaford" w:eastAsia="Times New Roman" w:hAnsi="Seaford" w:cs="Times New Roman"/>
          <w:i/>
          <w:sz w:val="25"/>
          <w:szCs w:val="25"/>
        </w:rPr>
        <w:t>completed during the course of this year</w:t>
      </w:r>
      <w:r w:rsidR="00D96B2A" w:rsidRPr="00357C2E">
        <w:rPr>
          <w:rFonts w:ascii="Seaford" w:eastAsia="Times New Roman" w:hAnsi="Seaford" w:cs="Times New Roman"/>
          <w:i/>
          <w:sz w:val="25"/>
          <w:szCs w:val="25"/>
        </w:rPr>
        <w:t xml:space="preserve"> – many of which are modelled on AQA GCSE exam tasks -</w:t>
      </w:r>
      <w:r w:rsidRPr="00357C2E">
        <w:rPr>
          <w:rFonts w:ascii="Seaford" w:eastAsia="Times New Roman" w:hAnsi="Seaford" w:cs="Times New Roman"/>
          <w:i/>
          <w:sz w:val="25"/>
          <w:szCs w:val="25"/>
        </w:rPr>
        <w:t xml:space="preserve"> students will be organised into ability groups.  </w:t>
      </w:r>
    </w:p>
    <w:p w14:paraId="72E1B419" w14:textId="28814D5E" w:rsidR="00BF4B82" w:rsidRPr="00357C2E" w:rsidRDefault="00BF4B82" w:rsidP="00BF4B82">
      <w:pPr>
        <w:ind w:left="720" w:hanging="720"/>
        <w:rPr>
          <w:rFonts w:ascii="Seaford" w:eastAsia="Times New Roman" w:hAnsi="Seaford" w:cs="Times New Roman"/>
          <w:b/>
          <w:sz w:val="25"/>
          <w:szCs w:val="25"/>
        </w:rPr>
      </w:pPr>
      <w:r w:rsidRPr="00357C2E">
        <w:rPr>
          <w:rFonts w:ascii="Seaford" w:eastAsia="Times New Roman" w:hAnsi="Seaford" w:cs="Times New Roman"/>
          <w:b/>
          <w:sz w:val="25"/>
          <w:szCs w:val="25"/>
        </w:rPr>
        <w:t>Q:</w:t>
      </w:r>
      <w:r w:rsidRPr="00357C2E">
        <w:rPr>
          <w:rFonts w:ascii="Seaford" w:eastAsia="Times New Roman" w:hAnsi="Seaford" w:cs="Times New Roman"/>
          <w:b/>
          <w:sz w:val="25"/>
          <w:szCs w:val="25"/>
        </w:rPr>
        <w:tab/>
        <w:t>What is the exam board?</w:t>
      </w:r>
    </w:p>
    <w:p w14:paraId="27C8DB1F" w14:textId="0CF1AD6C" w:rsidR="004B40EA" w:rsidRPr="00357C2E" w:rsidRDefault="00BF4B82" w:rsidP="00357C2E">
      <w:pPr>
        <w:spacing w:after="0" w:line="240" w:lineRule="auto"/>
        <w:ind w:left="720" w:hanging="720"/>
        <w:rPr>
          <w:rFonts w:ascii="Seaford" w:eastAsia="Times New Roman" w:hAnsi="Seaford" w:cs="Times New Roman"/>
          <w:i/>
          <w:color w:val="0000FF"/>
          <w:sz w:val="25"/>
          <w:szCs w:val="25"/>
          <w:u w:val="single"/>
        </w:rPr>
      </w:pPr>
      <w:r w:rsidRPr="00357C2E">
        <w:rPr>
          <w:rFonts w:ascii="Seaford" w:eastAsia="Times New Roman" w:hAnsi="Seaford" w:cs="Times New Roman"/>
          <w:i/>
          <w:sz w:val="25"/>
          <w:szCs w:val="25"/>
          <w:lang w:eastAsia="en-GB"/>
        </w:rPr>
        <w:t>A:</w:t>
      </w:r>
      <w:r w:rsidRPr="00357C2E">
        <w:rPr>
          <w:rFonts w:ascii="Seaford" w:eastAsia="Times New Roman" w:hAnsi="Seaford" w:cs="Times New Roman"/>
          <w:i/>
          <w:sz w:val="25"/>
          <w:szCs w:val="25"/>
          <w:lang w:eastAsia="en-GB"/>
        </w:rPr>
        <w:tab/>
      </w:r>
      <w:r w:rsidRPr="00357C2E">
        <w:rPr>
          <w:rFonts w:ascii="Seaford" w:eastAsia="Times New Roman" w:hAnsi="Seaford" w:cs="Times New Roman"/>
          <w:i/>
          <w:sz w:val="25"/>
          <w:szCs w:val="25"/>
        </w:rPr>
        <w:t xml:space="preserve">We are following the AQA GCSE courses.  There are course outlines in the Options Brochure and more detailed information – for both students and parents – is available on the AQA website: </w:t>
      </w:r>
      <w:hyperlink r:id="rId7" w:history="1">
        <w:r w:rsidRPr="00357C2E">
          <w:rPr>
            <w:rFonts w:ascii="Seaford" w:eastAsia="Times New Roman" w:hAnsi="Seaford" w:cs="Times New Roman"/>
            <w:i/>
            <w:color w:val="0000FF"/>
            <w:sz w:val="25"/>
            <w:szCs w:val="25"/>
            <w:u w:val="single"/>
          </w:rPr>
          <w:t>www.aqa.org.uk/subjects/english/gcse</w:t>
        </w:r>
      </w:hyperlink>
    </w:p>
    <w:p w14:paraId="72026BA3" w14:textId="61E83317" w:rsidR="004B40EA" w:rsidRPr="00357C2E" w:rsidRDefault="004B40EA" w:rsidP="00BF4B82">
      <w:pPr>
        <w:spacing w:after="0" w:line="240" w:lineRule="auto"/>
        <w:ind w:firstLine="720"/>
        <w:rPr>
          <w:rFonts w:ascii="Seaford" w:eastAsia="Times New Roman" w:hAnsi="Seaford" w:cs="Times New Roman"/>
          <w:i/>
          <w:color w:val="0000FF"/>
          <w:sz w:val="25"/>
          <w:szCs w:val="25"/>
          <w:u w:val="single"/>
        </w:rPr>
      </w:pPr>
    </w:p>
    <w:p w14:paraId="23FCE255" w14:textId="2EA454D0" w:rsidR="004B40EA" w:rsidRPr="00357C2E" w:rsidRDefault="004B40EA" w:rsidP="00357C2E">
      <w:pPr>
        <w:spacing w:after="0" w:line="240" w:lineRule="auto"/>
        <w:ind w:left="720" w:hanging="720"/>
        <w:rPr>
          <w:rFonts w:ascii="Seaford" w:eastAsia="Times New Roman" w:hAnsi="Seaford" w:cs="Times New Roman"/>
          <w:b/>
          <w:sz w:val="25"/>
          <w:szCs w:val="25"/>
        </w:rPr>
      </w:pPr>
      <w:r w:rsidRPr="00357C2E">
        <w:rPr>
          <w:rFonts w:ascii="Seaford" w:eastAsia="Times New Roman" w:hAnsi="Seaford" w:cs="Times New Roman"/>
          <w:b/>
          <w:sz w:val="25"/>
          <w:szCs w:val="25"/>
        </w:rPr>
        <w:t>Q:</w:t>
      </w:r>
      <w:r w:rsidRPr="00357C2E">
        <w:rPr>
          <w:rFonts w:ascii="Seaford" w:eastAsia="Times New Roman" w:hAnsi="Seaford" w:cs="Times New Roman"/>
          <w:b/>
          <w:sz w:val="25"/>
          <w:szCs w:val="25"/>
        </w:rPr>
        <w:tab/>
        <w:t>Do students need to have read any of the Literature set texts before the start of the course?</w:t>
      </w:r>
    </w:p>
    <w:p w14:paraId="302D73D9" w14:textId="5AC22B4A" w:rsidR="004B40EA" w:rsidRPr="00357C2E" w:rsidRDefault="004B40EA" w:rsidP="004B40EA">
      <w:pPr>
        <w:spacing w:after="0" w:line="240" w:lineRule="auto"/>
        <w:rPr>
          <w:rFonts w:ascii="Seaford" w:eastAsia="Times New Roman" w:hAnsi="Seaford" w:cs="Times New Roman"/>
          <w:b/>
          <w:sz w:val="25"/>
          <w:szCs w:val="25"/>
        </w:rPr>
      </w:pPr>
    </w:p>
    <w:p w14:paraId="66039F74" w14:textId="0713236F" w:rsidR="004B40EA" w:rsidRPr="00357C2E" w:rsidRDefault="004B40EA" w:rsidP="004B40EA">
      <w:pPr>
        <w:spacing w:after="0" w:line="240" w:lineRule="auto"/>
        <w:ind w:left="720" w:hanging="720"/>
        <w:rPr>
          <w:rFonts w:ascii="Seaford" w:eastAsia="Times New Roman" w:hAnsi="Seaford" w:cs="Times New Roman"/>
          <w:b/>
          <w:sz w:val="25"/>
          <w:szCs w:val="25"/>
        </w:rPr>
      </w:pPr>
      <w:r w:rsidRPr="00A34534">
        <w:rPr>
          <w:rFonts w:ascii="Seaford" w:eastAsia="Times New Roman" w:hAnsi="Seaford" w:cs="Times New Roman"/>
          <w:i/>
          <w:sz w:val="25"/>
          <w:szCs w:val="25"/>
        </w:rPr>
        <w:t>A:</w:t>
      </w:r>
      <w:r w:rsidRPr="00357C2E">
        <w:rPr>
          <w:rFonts w:ascii="Seaford" w:eastAsia="Times New Roman" w:hAnsi="Seaford" w:cs="Times New Roman"/>
          <w:b/>
          <w:sz w:val="25"/>
          <w:szCs w:val="25"/>
        </w:rPr>
        <w:tab/>
      </w:r>
      <w:r w:rsidRPr="00357C2E">
        <w:rPr>
          <w:rFonts w:ascii="Seaford" w:eastAsia="Times New Roman" w:hAnsi="Seaford" w:cs="Times New Roman"/>
          <w:i/>
          <w:sz w:val="25"/>
          <w:szCs w:val="25"/>
        </w:rPr>
        <w:t xml:space="preserve">Not least because individual teachers often </w:t>
      </w:r>
      <w:r w:rsidR="001527D1" w:rsidRPr="00357C2E">
        <w:rPr>
          <w:rFonts w:ascii="Seaford" w:eastAsia="Times New Roman" w:hAnsi="Seaford" w:cs="Times New Roman"/>
          <w:i/>
          <w:sz w:val="25"/>
          <w:szCs w:val="25"/>
        </w:rPr>
        <w:t>confirm</w:t>
      </w:r>
      <w:r w:rsidRPr="00357C2E">
        <w:rPr>
          <w:rFonts w:ascii="Seaford" w:eastAsia="Times New Roman" w:hAnsi="Seaford" w:cs="Times New Roman"/>
          <w:i/>
          <w:sz w:val="25"/>
          <w:szCs w:val="25"/>
        </w:rPr>
        <w:t xml:space="preserve"> text choices only once they have</w:t>
      </w:r>
      <w:r w:rsidR="001527D1" w:rsidRPr="00357C2E">
        <w:rPr>
          <w:rFonts w:ascii="Seaford" w:eastAsia="Times New Roman" w:hAnsi="Seaford" w:cs="Times New Roman"/>
          <w:i/>
          <w:sz w:val="25"/>
          <w:szCs w:val="25"/>
        </w:rPr>
        <w:t xml:space="preserve"> got to know a class, there is no necessity for students to read any of the set texts in advance. </w:t>
      </w:r>
      <w:r w:rsidRPr="00357C2E">
        <w:rPr>
          <w:rFonts w:ascii="Seaford" w:eastAsia="Times New Roman" w:hAnsi="Seaford" w:cs="Times New Roman"/>
          <w:i/>
          <w:sz w:val="25"/>
          <w:szCs w:val="25"/>
        </w:rPr>
        <w:t xml:space="preserve"> </w:t>
      </w:r>
    </w:p>
    <w:p w14:paraId="4BD77769" w14:textId="4A4CC2C9" w:rsidR="00BF4B82" w:rsidRPr="00357C2E" w:rsidRDefault="00BF4B82" w:rsidP="00BF4B82">
      <w:pPr>
        <w:spacing w:after="0" w:line="240" w:lineRule="auto"/>
        <w:ind w:firstLine="720"/>
        <w:rPr>
          <w:rFonts w:ascii="Seaford" w:eastAsia="Times New Roman" w:hAnsi="Seaford" w:cs="Times New Roman"/>
          <w:i/>
          <w:sz w:val="25"/>
          <w:szCs w:val="25"/>
        </w:rPr>
      </w:pPr>
      <w:r w:rsidRPr="00357C2E">
        <w:rPr>
          <w:rFonts w:ascii="Seaford" w:eastAsia="Times New Roman" w:hAnsi="Seaford" w:cs="Times New Roman"/>
          <w:i/>
          <w:sz w:val="25"/>
          <w:szCs w:val="25"/>
        </w:rPr>
        <w:t xml:space="preserve"> </w:t>
      </w:r>
    </w:p>
    <w:p w14:paraId="240CE285" w14:textId="77777777" w:rsidR="00BF4B82" w:rsidRPr="00357C2E" w:rsidRDefault="00BF4B82" w:rsidP="00BF4B82">
      <w:pPr>
        <w:ind w:left="720" w:hanging="720"/>
        <w:rPr>
          <w:rFonts w:ascii="Seaford" w:eastAsia="Times New Roman" w:hAnsi="Seaford" w:cs="Times New Roman"/>
          <w:b/>
          <w:sz w:val="25"/>
          <w:szCs w:val="25"/>
        </w:rPr>
      </w:pPr>
      <w:r w:rsidRPr="00357C2E">
        <w:rPr>
          <w:rFonts w:ascii="Seaford" w:eastAsia="Times New Roman" w:hAnsi="Seaford" w:cs="Times New Roman"/>
          <w:b/>
          <w:sz w:val="25"/>
          <w:szCs w:val="25"/>
        </w:rPr>
        <w:t>Q:</w:t>
      </w:r>
      <w:r w:rsidRPr="00357C2E">
        <w:rPr>
          <w:rFonts w:ascii="Seaford" w:eastAsia="Times New Roman" w:hAnsi="Seaford" w:cs="Times New Roman"/>
          <w:b/>
          <w:sz w:val="25"/>
          <w:szCs w:val="25"/>
        </w:rPr>
        <w:tab/>
        <w:t>What can I do to help my child prepare for the GCSE courses?</w:t>
      </w:r>
    </w:p>
    <w:p w14:paraId="1D5AC6F5" w14:textId="77777777" w:rsidR="00BF4B82" w:rsidRPr="00357C2E" w:rsidRDefault="00BF4B82" w:rsidP="00BF4B82">
      <w:pPr>
        <w:ind w:left="720" w:hanging="720"/>
        <w:rPr>
          <w:rFonts w:ascii="Seaford" w:eastAsia="Times New Roman" w:hAnsi="Seaford" w:cs="Times New Roman"/>
          <w:i/>
          <w:sz w:val="25"/>
          <w:szCs w:val="25"/>
        </w:rPr>
      </w:pPr>
      <w:r w:rsidRPr="00357C2E">
        <w:rPr>
          <w:rFonts w:ascii="Seaford" w:eastAsia="Times New Roman" w:hAnsi="Seaford" w:cs="Times New Roman"/>
          <w:i/>
          <w:sz w:val="25"/>
          <w:szCs w:val="25"/>
        </w:rPr>
        <w:t>A:</w:t>
      </w:r>
      <w:r w:rsidRPr="00357C2E">
        <w:rPr>
          <w:rFonts w:ascii="Seaford" w:eastAsia="Times New Roman" w:hAnsi="Seaford" w:cs="Times New Roman"/>
          <w:i/>
          <w:sz w:val="25"/>
          <w:szCs w:val="25"/>
        </w:rPr>
        <w:tab/>
        <w:t xml:space="preserve">A simple answer to this question is: make sure that they’re reading.  Encouraging your child to choose books that both challenge and develop their reading skills would be an excellent way of preparing for next year.  Taking them to the theatre would also be very useful and productive.  </w:t>
      </w:r>
    </w:p>
    <w:p w14:paraId="3E8F7926" w14:textId="77777777" w:rsidR="00BF4B82" w:rsidRPr="00357C2E" w:rsidRDefault="00BF4B82" w:rsidP="00BF4B82">
      <w:pPr>
        <w:ind w:left="720" w:hanging="720"/>
        <w:rPr>
          <w:rFonts w:ascii="Seaford" w:eastAsia="Times New Roman" w:hAnsi="Seaford" w:cs="Times New Roman"/>
          <w:sz w:val="25"/>
          <w:szCs w:val="25"/>
        </w:rPr>
      </w:pPr>
      <w:r w:rsidRPr="00357C2E">
        <w:rPr>
          <w:rFonts w:ascii="Seaford" w:eastAsia="Times New Roman" w:hAnsi="Seaford" w:cs="Times New Roman"/>
          <w:b/>
          <w:sz w:val="25"/>
          <w:szCs w:val="25"/>
        </w:rPr>
        <w:t>Q:</w:t>
      </w:r>
      <w:r w:rsidRPr="00357C2E">
        <w:rPr>
          <w:rFonts w:ascii="Seaford" w:eastAsia="Times New Roman" w:hAnsi="Seaford" w:cs="Times New Roman"/>
          <w:b/>
          <w:sz w:val="25"/>
          <w:szCs w:val="25"/>
        </w:rPr>
        <w:tab/>
        <w:t>Who can I contact if I have any further questions about KS4 English at Comberton?</w:t>
      </w:r>
    </w:p>
    <w:p w14:paraId="21277FF9" w14:textId="06356496" w:rsidR="00BF4B82" w:rsidRPr="00357C2E" w:rsidRDefault="00BF4B82">
      <w:pPr>
        <w:ind w:left="720" w:hanging="720"/>
        <w:rPr>
          <w:rFonts w:ascii="Seaford" w:hAnsi="Seaford"/>
          <w:i/>
          <w:sz w:val="25"/>
          <w:szCs w:val="25"/>
        </w:rPr>
      </w:pPr>
      <w:r w:rsidRPr="00357C2E">
        <w:rPr>
          <w:rFonts w:ascii="Seaford" w:eastAsia="Times New Roman" w:hAnsi="Seaford" w:cs="Times New Roman"/>
          <w:i/>
          <w:sz w:val="25"/>
          <w:szCs w:val="25"/>
        </w:rPr>
        <w:t>A:</w:t>
      </w:r>
      <w:r w:rsidRPr="00357C2E">
        <w:rPr>
          <w:rFonts w:ascii="Seaford" w:eastAsia="Times New Roman" w:hAnsi="Seaford" w:cs="Times New Roman"/>
          <w:i/>
          <w:sz w:val="25"/>
          <w:szCs w:val="25"/>
        </w:rPr>
        <w:tab/>
        <w:t xml:space="preserve">Please contact either </w:t>
      </w:r>
      <w:r w:rsidR="001434DC" w:rsidRPr="00357C2E">
        <w:rPr>
          <w:rFonts w:ascii="Seaford" w:eastAsia="Times New Roman" w:hAnsi="Seaford" w:cs="Times New Roman"/>
          <w:i/>
          <w:sz w:val="25"/>
          <w:szCs w:val="25"/>
        </w:rPr>
        <w:t>Miss Hillman</w:t>
      </w:r>
      <w:r w:rsidRPr="00357C2E">
        <w:rPr>
          <w:rFonts w:ascii="Seaford" w:eastAsia="Times New Roman" w:hAnsi="Seaford" w:cs="Times New Roman"/>
          <w:i/>
          <w:sz w:val="25"/>
          <w:szCs w:val="25"/>
        </w:rPr>
        <w:t xml:space="preserve"> (Head of Department) or Mr Shelley (KS4 Coordinator).</w:t>
      </w:r>
    </w:p>
    <w:sectPr w:rsidR="00BF4B82" w:rsidRPr="00357C2E" w:rsidSect="008130C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29F4" w14:textId="77777777" w:rsidR="00F74CF0" w:rsidRDefault="00F74CF0" w:rsidP="00933491">
      <w:pPr>
        <w:spacing w:after="0" w:line="240" w:lineRule="auto"/>
      </w:pPr>
      <w:r>
        <w:separator/>
      </w:r>
    </w:p>
  </w:endnote>
  <w:endnote w:type="continuationSeparator" w:id="0">
    <w:p w14:paraId="0556A8A4" w14:textId="77777777" w:rsidR="00F74CF0" w:rsidRDefault="00F74CF0" w:rsidP="0093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aford">
    <w:charset w:val="00"/>
    <w:family w:val="auto"/>
    <w:pitch w:val="variable"/>
    <w:sig w:usb0="80000003" w:usb1="00000001"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8FF1" w14:textId="77777777" w:rsidR="00F74CF0" w:rsidRDefault="00F74CF0" w:rsidP="00933491">
      <w:pPr>
        <w:spacing w:after="0" w:line="240" w:lineRule="auto"/>
      </w:pPr>
      <w:r>
        <w:separator/>
      </w:r>
    </w:p>
  </w:footnote>
  <w:footnote w:type="continuationSeparator" w:id="0">
    <w:p w14:paraId="61D5AAC1" w14:textId="77777777" w:rsidR="00F74CF0" w:rsidRDefault="00F74CF0" w:rsidP="00933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7B92" w14:textId="77777777" w:rsidR="00933491" w:rsidRPr="00F74069" w:rsidRDefault="00933491" w:rsidP="00010B08">
    <w:pPr>
      <w:tabs>
        <w:tab w:val="center" w:pos="5233"/>
      </w:tabs>
      <w:jc w:val="center"/>
      <w:rPr>
        <w:rFonts w:ascii="Tw Cen MT" w:hAnsi="Tw Cen MT"/>
        <w:sz w:val="44"/>
        <w:szCs w:val="36"/>
      </w:rPr>
    </w:pPr>
    <w:r w:rsidRPr="00F74069">
      <w:rPr>
        <w:rFonts w:ascii="Tw Cen MT" w:hAnsi="Tw Cen MT"/>
        <w:b/>
        <w:sz w:val="44"/>
        <w:szCs w:val="36"/>
      </w:rPr>
      <w:t>KS4 ENGLISH – SOME FREQUENTLY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D17B5"/>
    <w:multiLevelType w:val="hybridMultilevel"/>
    <w:tmpl w:val="59BA8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0CA"/>
    <w:rsid w:val="00010B08"/>
    <w:rsid w:val="00011416"/>
    <w:rsid w:val="00053DA7"/>
    <w:rsid w:val="00055AC7"/>
    <w:rsid w:val="0006329A"/>
    <w:rsid w:val="001434DC"/>
    <w:rsid w:val="001527D1"/>
    <w:rsid w:val="001A69FF"/>
    <w:rsid w:val="00267DC3"/>
    <w:rsid w:val="00297337"/>
    <w:rsid w:val="002E2788"/>
    <w:rsid w:val="002E38E4"/>
    <w:rsid w:val="00311079"/>
    <w:rsid w:val="00332D24"/>
    <w:rsid w:val="00352382"/>
    <w:rsid w:val="00357C2E"/>
    <w:rsid w:val="00392802"/>
    <w:rsid w:val="003B0392"/>
    <w:rsid w:val="003B5CFB"/>
    <w:rsid w:val="004037BE"/>
    <w:rsid w:val="004A4DF4"/>
    <w:rsid w:val="004B40EA"/>
    <w:rsid w:val="004B6F93"/>
    <w:rsid w:val="0050554E"/>
    <w:rsid w:val="00535654"/>
    <w:rsid w:val="005B013D"/>
    <w:rsid w:val="00654503"/>
    <w:rsid w:val="0065496D"/>
    <w:rsid w:val="006845A4"/>
    <w:rsid w:val="00685BF5"/>
    <w:rsid w:val="006B1A3C"/>
    <w:rsid w:val="007300B6"/>
    <w:rsid w:val="00796E52"/>
    <w:rsid w:val="007B4D0E"/>
    <w:rsid w:val="007C4705"/>
    <w:rsid w:val="008130CA"/>
    <w:rsid w:val="00822B59"/>
    <w:rsid w:val="00851F74"/>
    <w:rsid w:val="008C64F8"/>
    <w:rsid w:val="00914E5C"/>
    <w:rsid w:val="00933491"/>
    <w:rsid w:val="009C4703"/>
    <w:rsid w:val="00A34534"/>
    <w:rsid w:val="00A53E3F"/>
    <w:rsid w:val="00AB10FC"/>
    <w:rsid w:val="00BF4B82"/>
    <w:rsid w:val="00C0788A"/>
    <w:rsid w:val="00C920FA"/>
    <w:rsid w:val="00CA7433"/>
    <w:rsid w:val="00D765C1"/>
    <w:rsid w:val="00D96B2A"/>
    <w:rsid w:val="00E2227B"/>
    <w:rsid w:val="00E40ADD"/>
    <w:rsid w:val="00EA54CB"/>
    <w:rsid w:val="00EB30E4"/>
    <w:rsid w:val="00EB5F05"/>
    <w:rsid w:val="00EC30CA"/>
    <w:rsid w:val="00EC6989"/>
    <w:rsid w:val="00EF03A9"/>
    <w:rsid w:val="00F74069"/>
    <w:rsid w:val="00F74CF0"/>
    <w:rsid w:val="00F84774"/>
    <w:rsid w:val="00FB0ED6"/>
    <w:rsid w:val="00FF4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68679"/>
  <w15:docId w15:val="{9B993286-72EF-4F7C-ABC1-AE290C54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AC7"/>
    <w:pPr>
      <w:ind w:left="720"/>
      <w:contextualSpacing/>
    </w:pPr>
  </w:style>
  <w:style w:type="paragraph" w:styleId="Header">
    <w:name w:val="header"/>
    <w:basedOn w:val="Normal"/>
    <w:link w:val="HeaderChar"/>
    <w:uiPriority w:val="99"/>
    <w:unhideWhenUsed/>
    <w:rsid w:val="00933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491"/>
  </w:style>
  <w:style w:type="paragraph" w:styleId="Footer">
    <w:name w:val="footer"/>
    <w:basedOn w:val="Normal"/>
    <w:link w:val="FooterChar"/>
    <w:uiPriority w:val="99"/>
    <w:unhideWhenUsed/>
    <w:rsid w:val="009334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491"/>
  </w:style>
  <w:style w:type="character" w:styleId="Hyperlink">
    <w:name w:val="Hyperlink"/>
    <w:basedOn w:val="DefaultParagraphFont"/>
    <w:uiPriority w:val="99"/>
    <w:unhideWhenUsed/>
    <w:rsid w:val="00053DA7"/>
    <w:rPr>
      <w:color w:val="0000FF" w:themeColor="hyperlink"/>
      <w:u w:val="single"/>
    </w:rPr>
  </w:style>
  <w:style w:type="paragraph" w:styleId="NormalWeb">
    <w:name w:val="Normal (Web)"/>
    <w:basedOn w:val="Normal"/>
    <w:uiPriority w:val="99"/>
    <w:semiHidden/>
    <w:unhideWhenUsed/>
    <w:rsid w:val="00AB10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22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qa.org.uk/subjects/english/gc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Comberton Village College</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Shelley</dc:creator>
  <cp:lastModifiedBy>Oliver Shelley</cp:lastModifiedBy>
  <cp:revision>5</cp:revision>
  <dcterms:created xsi:type="dcterms:W3CDTF">2024-09-13T10:18:00Z</dcterms:created>
  <dcterms:modified xsi:type="dcterms:W3CDTF">2024-09-13T10:27:00Z</dcterms:modified>
</cp:coreProperties>
</file>